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left"/>
        <w:rPr>
          <w:rFonts w:hint="eastAsia" w:ascii="黑体" w:hAnsi="黑体" w:eastAsia="黑体" w:cs="黑体"/>
          <w:bCs/>
          <w:color w:val="000000"/>
          <w:kern w:val="0"/>
          <w:sz w:val="32"/>
          <w:szCs w:val="32"/>
          <w:lang w:eastAsia="zh-CN"/>
        </w:rPr>
      </w:pPr>
      <w:r>
        <w:rPr>
          <w:rFonts w:hint="eastAsia" w:ascii="黑体" w:hAnsi="黑体" w:eastAsia="黑体" w:cs="黑体"/>
          <w:bCs/>
          <w:color w:val="000000"/>
          <w:kern w:val="0"/>
          <w:sz w:val="32"/>
          <w:szCs w:val="32"/>
        </w:rPr>
        <w:t>附件</w:t>
      </w:r>
      <w:r>
        <w:rPr>
          <w:rFonts w:hint="eastAsia" w:ascii="黑体" w:hAnsi="黑体" w:eastAsia="黑体" w:cs="黑体"/>
          <w:bCs/>
          <w:color w:val="000000"/>
          <w:kern w:val="0"/>
          <w:sz w:val="32"/>
          <w:szCs w:val="32"/>
          <w:lang w:val="en-US" w:eastAsia="zh-CN"/>
        </w:rPr>
        <w:t>3</w:t>
      </w:r>
    </w:p>
    <w:p>
      <w:pPr>
        <w:spacing w:line="320" w:lineRule="exact"/>
        <w:rPr>
          <w:rFonts w:ascii="仿宋_GB2312" w:hAnsi="仿宋_GB2312" w:eastAsia="仿宋_GB2312" w:cs="仿宋_GB2312"/>
          <w:sz w:val="28"/>
          <w:szCs w:val="28"/>
        </w:rPr>
      </w:pPr>
    </w:p>
    <w:p>
      <w:pPr>
        <w:spacing w:line="560" w:lineRule="exact"/>
        <w:jc w:val="center"/>
        <w:rPr>
          <w:rFonts w:hint="eastAsia" w:ascii="方正小标宋简体" w:hAnsi="黑体" w:eastAsia="方正小标宋简体" w:cs="Helvetica"/>
          <w:bCs/>
          <w:color w:val="000000"/>
          <w:kern w:val="0"/>
          <w:sz w:val="44"/>
          <w:szCs w:val="44"/>
        </w:rPr>
      </w:pPr>
      <w:r>
        <w:rPr>
          <w:rFonts w:hint="eastAsia" w:ascii="方正小标宋简体" w:hAnsi="黑体" w:eastAsia="方正小标宋简体" w:cs="Helvetica"/>
          <w:bCs/>
          <w:color w:val="000000"/>
          <w:kern w:val="0"/>
          <w:sz w:val="44"/>
          <w:szCs w:val="44"/>
          <w:lang w:val="en-US" w:eastAsia="zh-CN"/>
        </w:rPr>
        <w:t>药品</w:t>
      </w:r>
      <w:r>
        <w:rPr>
          <w:rFonts w:hint="eastAsia" w:ascii="方正小标宋简体" w:hAnsi="黑体" w:eastAsia="方正小标宋简体" w:cs="Helvetica"/>
          <w:bCs/>
          <w:color w:val="000000"/>
          <w:kern w:val="0"/>
          <w:sz w:val="44"/>
          <w:szCs w:val="44"/>
        </w:rPr>
        <w:t>配送企业遴选评分表</w:t>
      </w:r>
    </w:p>
    <w:p>
      <w:pPr>
        <w:spacing w:line="560" w:lineRule="exact"/>
        <w:jc w:val="both"/>
        <w:rPr>
          <w:rFonts w:hint="default" w:ascii="方正小标宋简体" w:hAnsi="黑体" w:eastAsia="方正小标宋简体" w:cs="Helvetica"/>
          <w:bCs/>
          <w:color w:val="000000"/>
          <w:kern w:val="0"/>
          <w:sz w:val="28"/>
          <w:szCs w:val="28"/>
          <w:lang w:val="en-US" w:eastAsia="zh-CN"/>
        </w:rPr>
      </w:pPr>
      <w:r>
        <w:rPr>
          <w:rFonts w:hint="eastAsia" w:ascii="Times New Roman" w:hAnsi="Times New Roman" w:eastAsia="宋体" w:cs="Times New Roman"/>
          <w:b/>
          <w:bCs/>
          <w:kern w:val="0"/>
          <w:sz w:val="24"/>
          <w:lang w:val="en-US" w:eastAsia="zh-CN"/>
        </w:rPr>
        <w:t>配送企业名称：</w:t>
      </w:r>
    </w:p>
    <w:tbl>
      <w:tblPr>
        <w:tblStyle w:val="2"/>
        <w:tblW w:w="4970" w:type="pct"/>
        <w:jc w:val="center"/>
        <w:tblLayout w:type="fixed"/>
        <w:tblCellMar>
          <w:top w:w="0" w:type="dxa"/>
          <w:left w:w="108" w:type="dxa"/>
          <w:bottom w:w="0" w:type="dxa"/>
          <w:right w:w="108" w:type="dxa"/>
        </w:tblCellMar>
      </w:tblPr>
      <w:tblGrid>
        <w:gridCol w:w="1024"/>
        <w:gridCol w:w="1043"/>
        <w:gridCol w:w="3341"/>
        <w:gridCol w:w="419"/>
        <w:gridCol w:w="384"/>
        <w:gridCol w:w="3946"/>
      </w:tblGrid>
      <w:tr>
        <w:tblPrEx>
          <w:tblCellMar>
            <w:top w:w="0" w:type="dxa"/>
            <w:left w:w="108" w:type="dxa"/>
            <w:bottom w:w="0" w:type="dxa"/>
            <w:right w:w="108" w:type="dxa"/>
          </w:tblCellMar>
        </w:tblPrEx>
        <w:trPr>
          <w:trHeight w:val="600" w:hRule="atLeast"/>
          <w:jc w:val="center"/>
        </w:trPr>
        <w:tc>
          <w:tcPr>
            <w:tcW w:w="50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
                <w:bCs/>
                <w:kern w:val="0"/>
                <w:sz w:val="21"/>
                <w:szCs w:val="21"/>
              </w:rPr>
            </w:pPr>
            <w:r>
              <w:rPr>
                <w:rFonts w:hint="eastAsia" w:ascii="Times New Roman" w:hAnsi="Times New Roman" w:eastAsia="宋体" w:cs="Times New Roman"/>
                <w:b/>
                <w:bCs/>
                <w:kern w:val="0"/>
                <w:sz w:val="21"/>
                <w:szCs w:val="21"/>
              </w:rPr>
              <w:t>一级指标</w:t>
            </w:r>
          </w:p>
        </w:tc>
        <w:tc>
          <w:tcPr>
            <w:tcW w:w="51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
                <w:bCs/>
                <w:kern w:val="0"/>
                <w:sz w:val="21"/>
                <w:szCs w:val="21"/>
              </w:rPr>
            </w:pPr>
            <w:r>
              <w:rPr>
                <w:rFonts w:hint="eastAsia" w:ascii="Times New Roman" w:hAnsi="Times New Roman" w:eastAsia="宋体" w:cs="Times New Roman"/>
                <w:b/>
                <w:bCs/>
                <w:kern w:val="0"/>
                <w:sz w:val="21"/>
                <w:szCs w:val="21"/>
              </w:rPr>
              <w:t>二级指标</w:t>
            </w:r>
          </w:p>
        </w:tc>
        <w:tc>
          <w:tcPr>
            <w:tcW w:w="164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
                <w:bCs/>
                <w:kern w:val="0"/>
                <w:sz w:val="21"/>
                <w:szCs w:val="21"/>
              </w:rPr>
            </w:pPr>
            <w:r>
              <w:rPr>
                <w:rFonts w:hint="eastAsia" w:ascii="Times New Roman" w:hAnsi="Times New Roman" w:eastAsia="宋体" w:cs="Times New Roman"/>
                <w:b/>
                <w:bCs/>
                <w:kern w:val="0"/>
                <w:sz w:val="21"/>
                <w:szCs w:val="21"/>
              </w:rPr>
              <w:t>评价细则</w:t>
            </w:r>
          </w:p>
        </w:tc>
        <w:tc>
          <w:tcPr>
            <w:tcW w:w="20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
                <w:bCs/>
                <w:kern w:val="0"/>
                <w:sz w:val="21"/>
                <w:szCs w:val="21"/>
              </w:rPr>
            </w:pPr>
            <w:r>
              <w:rPr>
                <w:rFonts w:hint="eastAsia" w:ascii="Times New Roman" w:hAnsi="Times New Roman" w:eastAsia="宋体" w:cs="Times New Roman"/>
                <w:b/>
                <w:bCs/>
                <w:kern w:val="0"/>
                <w:sz w:val="21"/>
                <w:szCs w:val="21"/>
              </w:rPr>
              <w:t>分值</w:t>
            </w:r>
          </w:p>
        </w:tc>
        <w:tc>
          <w:tcPr>
            <w:tcW w:w="18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b/>
                <w:bCs/>
                <w:kern w:val="0"/>
                <w:sz w:val="21"/>
                <w:szCs w:val="21"/>
              </w:rPr>
            </w:pPr>
            <w:r>
              <w:rPr>
                <w:rFonts w:hint="eastAsia" w:ascii="Times New Roman" w:hAnsi="Times New Roman" w:eastAsia="宋体" w:cs="Times New Roman"/>
                <w:b/>
                <w:bCs/>
                <w:kern w:val="0"/>
                <w:sz w:val="21"/>
                <w:szCs w:val="21"/>
              </w:rPr>
              <w:t>评分</w:t>
            </w:r>
          </w:p>
        </w:tc>
        <w:tc>
          <w:tcPr>
            <w:tcW w:w="1942" w:type="pct"/>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b/>
                <w:bCs/>
                <w:kern w:val="0"/>
                <w:sz w:val="21"/>
                <w:szCs w:val="21"/>
                <w:lang w:val="en-US" w:eastAsia="zh-CN"/>
              </w:rPr>
            </w:pPr>
            <w:r>
              <w:rPr>
                <w:rFonts w:hint="eastAsia" w:ascii="Times New Roman" w:hAnsi="Times New Roman" w:cs="Times New Roman"/>
                <w:b/>
                <w:bCs/>
                <w:kern w:val="0"/>
                <w:sz w:val="21"/>
                <w:szCs w:val="21"/>
                <w:lang w:val="en-US" w:eastAsia="zh-CN"/>
              </w:rPr>
              <w:t>证明材料（复印件加盖公章并按顺序装订，原件备查）</w:t>
            </w:r>
          </w:p>
        </w:tc>
      </w:tr>
      <w:tr>
        <w:tblPrEx>
          <w:tblCellMar>
            <w:top w:w="0" w:type="dxa"/>
            <w:left w:w="108" w:type="dxa"/>
            <w:bottom w:w="0" w:type="dxa"/>
            <w:right w:w="108" w:type="dxa"/>
          </w:tblCellMar>
        </w:tblPrEx>
        <w:trPr>
          <w:trHeight w:val="305" w:hRule="atLeast"/>
          <w:jc w:val="center"/>
        </w:trPr>
        <w:tc>
          <w:tcPr>
            <w:tcW w:w="504"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b/>
                <w:bCs/>
                <w:kern w:val="0"/>
                <w:sz w:val="21"/>
                <w:szCs w:val="21"/>
                <w:lang w:val="en-US" w:eastAsia="zh-CN"/>
              </w:rPr>
              <w:t>1</w:t>
            </w:r>
            <w:r>
              <w:rPr>
                <w:rFonts w:hint="eastAsia" w:ascii="Times New Roman" w:hAnsi="Times New Roman" w:eastAsia="宋体" w:cs="Times New Roman"/>
                <w:b/>
                <w:bCs/>
                <w:kern w:val="0"/>
                <w:sz w:val="21"/>
                <w:szCs w:val="21"/>
              </w:rPr>
              <w:t>.供货</w:t>
            </w:r>
            <w:r>
              <w:rPr>
                <w:rFonts w:hint="eastAsia" w:ascii="Times New Roman" w:hAnsi="Times New Roman" w:eastAsia="宋体" w:cs="Times New Roman"/>
                <w:b/>
                <w:bCs/>
                <w:kern w:val="0"/>
                <w:sz w:val="21"/>
                <w:szCs w:val="21"/>
                <w:lang w:val="en-US" w:eastAsia="zh-CN"/>
              </w:rPr>
              <w:t>能</w:t>
            </w:r>
            <w:r>
              <w:rPr>
                <w:rFonts w:hint="eastAsia" w:ascii="Times New Roman" w:hAnsi="Times New Roman" w:eastAsia="宋体" w:cs="Times New Roman"/>
                <w:b/>
                <w:bCs/>
                <w:kern w:val="0"/>
                <w:sz w:val="21"/>
                <w:szCs w:val="21"/>
              </w:rPr>
              <w:t>力（2</w:t>
            </w:r>
            <w:r>
              <w:rPr>
                <w:rFonts w:hint="eastAsia" w:ascii="Times New Roman" w:hAnsi="Times New Roman" w:eastAsia="宋体" w:cs="Times New Roman"/>
                <w:b/>
                <w:bCs/>
                <w:kern w:val="0"/>
                <w:sz w:val="21"/>
                <w:szCs w:val="21"/>
                <w:lang w:val="en-US" w:eastAsia="zh-CN"/>
              </w:rPr>
              <w:t>5</w:t>
            </w:r>
            <w:r>
              <w:rPr>
                <w:rFonts w:hint="eastAsia" w:ascii="Times New Roman" w:hAnsi="Times New Roman" w:eastAsia="宋体" w:cs="Times New Roman"/>
                <w:b/>
                <w:bCs/>
                <w:kern w:val="0"/>
                <w:sz w:val="21"/>
                <w:szCs w:val="21"/>
              </w:rPr>
              <w:t>分）</w:t>
            </w:r>
          </w:p>
        </w:tc>
        <w:tc>
          <w:tcPr>
            <w:tcW w:w="513"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eastAsia="zh-CN"/>
              </w:rPr>
              <w:t>1</w:t>
            </w:r>
            <w:r>
              <w:rPr>
                <w:rFonts w:hint="eastAsia" w:ascii="Times New Roman" w:hAnsi="Times New Roman" w:eastAsia="宋体" w:cs="Times New Roman"/>
                <w:kern w:val="0"/>
                <w:sz w:val="21"/>
                <w:szCs w:val="21"/>
              </w:rPr>
              <w:t>.1</w:t>
            </w:r>
            <w:r>
              <w:rPr>
                <w:rFonts w:hint="eastAsia" w:ascii="Times New Roman" w:hAnsi="Times New Roman" w:eastAsia="宋体" w:cs="Times New Roman"/>
                <w:kern w:val="0"/>
                <w:sz w:val="21"/>
                <w:szCs w:val="21"/>
                <w:lang w:val="en-US" w:eastAsia="zh-CN"/>
              </w:rPr>
              <w:t>可配送药品品规数</w:t>
            </w:r>
            <w:r>
              <w:rPr>
                <w:rFonts w:hint="eastAsia" w:ascii="Times New Roman" w:hAnsi="Times New Roman" w:eastAsia="宋体" w:cs="Times New Roman"/>
                <w:kern w:val="0"/>
                <w:sz w:val="21"/>
                <w:szCs w:val="21"/>
              </w:rPr>
              <w:t>（</w:t>
            </w:r>
            <w:r>
              <w:rPr>
                <w:rFonts w:hint="eastAsia" w:ascii="Times New Roman" w:hAnsi="Times New Roman" w:eastAsia="宋体" w:cs="Times New Roman"/>
                <w:kern w:val="0"/>
                <w:sz w:val="21"/>
                <w:szCs w:val="21"/>
                <w:lang w:val="en-US" w:eastAsia="zh-CN"/>
              </w:rPr>
              <w:t>10</w:t>
            </w:r>
            <w:r>
              <w:rPr>
                <w:rFonts w:hint="eastAsia" w:ascii="Times New Roman" w:hAnsi="Times New Roman" w:eastAsia="宋体" w:cs="Times New Roman"/>
                <w:kern w:val="0"/>
                <w:sz w:val="21"/>
                <w:szCs w:val="21"/>
              </w:rPr>
              <w:t>分）</w:t>
            </w:r>
          </w:p>
        </w:tc>
        <w:tc>
          <w:tcPr>
            <w:tcW w:w="16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400种以下</w:t>
            </w:r>
          </w:p>
        </w:tc>
        <w:tc>
          <w:tcPr>
            <w:tcW w:w="20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val="en-US" w:eastAsia="zh-CN"/>
              </w:rPr>
              <w:t>2</w:t>
            </w:r>
          </w:p>
        </w:tc>
        <w:tc>
          <w:tcPr>
            <w:tcW w:w="189"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c>
          <w:tcPr>
            <w:tcW w:w="194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rPr>
              <w:t>提供企业在广西药品</w:t>
            </w:r>
            <w:r>
              <w:rPr>
                <w:rFonts w:hint="eastAsia" w:ascii="Times New Roman" w:hAnsi="Times New Roman" w:eastAsia="宋体" w:cs="Times New Roman"/>
                <w:kern w:val="0"/>
                <w:sz w:val="21"/>
                <w:szCs w:val="21"/>
                <w:lang w:val="en-US" w:eastAsia="zh-CN"/>
              </w:rPr>
              <w:t>和</w:t>
            </w:r>
            <w:r>
              <w:rPr>
                <w:rFonts w:hint="eastAsia" w:ascii="Times New Roman" w:hAnsi="Times New Roman" w:eastAsia="宋体" w:cs="Times New Roman"/>
                <w:kern w:val="0"/>
                <w:sz w:val="21"/>
                <w:szCs w:val="21"/>
              </w:rPr>
              <w:t>医用耗材招采管理系统“药品交易”模块可配送药品品种、规格的数量作为证明材料</w:t>
            </w:r>
            <w:r>
              <w:rPr>
                <w:rFonts w:hint="eastAsia" w:ascii="Times New Roman" w:hAnsi="Times New Roman" w:eastAsia="宋体" w:cs="Times New Roman"/>
                <w:kern w:val="0"/>
                <w:sz w:val="21"/>
                <w:szCs w:val="21"/>
                <w:lang w:val="en-US" w:eastAsia="zh-CN"/>
              </w:rPr>
              <w:t>。</w:t>
            </w: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400种-600种*</w:t>
            </w:r>
          </w:p>
        </w:tc>
        <w:tc>
          <w:tcPr>
            <w:tcW w:w="206" w:type="pct"/>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4</w:t>
            </w:r>
          </w:p>
        </w:tc>
        <w:tc>
          <w:tcPr>
            <w:tcW w:w="189"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600种-800种*</w:t>
            </w:r>
          </w:p>
        </w:tc>
        <w:tc>
          <w:tcPr>
            <w:tcW w:w="206" w:type="pct"/>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6</w:t>
            </w:r>
          </w:p>
        </w:tc>
        <w:tc>
          <w:tcPr>
            <w:tcW w:w="189"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800种-1000种*</w:t>
            </w:r>
          </w:p>
        </w:tc>
        <w:tc>
          <w:tcPr>
            <w:tcW w:w="206" w:type="pct"/>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8</w:t>
            </w:r>
          </w:p>
        </w:tc>
        <w:tc>
          <w:tcPr>
            <w:tcW w:w="189"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600"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1000种以上</w:t>
            </w:r>
          </w:p>
        </w:tc>
        <w:tc>
          <w:tcPr>
            <w:tcW w:w="206" w:type="pct"/>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cs="Times New Roman"/>
                <w:kern w:val="0"/>
                <w:sz w:val="21"/>
                <w:szCs w:val="21"/>
                <w:lang w:val="en-US" w:eastAsia="zh-CN"/>
              </w:rPr>
              <w:t>10</w:t>
            </w:r>
          </w:p>
        </w:tc>
        <w:tc>
          <w:tcPr>
            <w:tcW w:w="189"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restart"/>
            <w:tcBorders>
              <w:top w:val="nil"/>
              <w:left w:val="nil"/>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w:t>
            </w:r>
            <w:r>
              <w:rPr>
                <w:rFonts w:hint="eastAsia" w:ascii="Times New Roman" w:hAnsi="Times New Roman" w:eastAsia="宋体" w:cs="Times New Roman"/>
                <w:kern w:val="0"/>
                <w:sz w:val="21"/>
                <w:szCs w:val="21"/>
              </w:rPr>
              <w:t>.2</w:t>
            </w:r>
            <w:r>
              <w:rPr>
                <w:rFonts w:hint="eastAsia" w:ascii="Times New Roman" w:hAnsi="Times New Roman" w:eastAsia="宋体" w:cs="Times New Roman"/>
                <w:kern w:val="0"/>
                <w:sz w:val="21"/>
                <w:szCs w:val="21"/>
                <w:lang w:val="en-US" w:eastAsia="zh-CN"/>
              </w:rPr>
              <w:t>基药品种覆盖程度（5分）</w:t>
            </w: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&lt;覆盖基药品规数×40%</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w:t>
            </w:r>
          </w:p>
        </w:tc>
        <w:tc>
          <w:tcPr>
            <w:tcW w:w="189" w:type="pct"/>
            <w:vMerge w:val="restart"/>
            <w:tcBorders>
              <w:top w:val="nil"/>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c>
          <w:tcPr>
            <w:tcW w:w="1942" w:type="pct"/>
            <w:vMerge w:val="restart"/>
            <w:tcBorders>
              <w:top w:val="nil"/>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提供企业供应品种目录与《国家基本药物目录（2018年版）》载入品种（除中药饮片外）的匹配对比Excel表格，并加盖企业公章</w:t>
            </w: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覆盖基药品规数×（40%~60%）*</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w:t>
            </w:r>
          </w:p>
        </w:tc>
        <w:tc>
          <w:tcPr>
            <w:tcW w:w="189"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覆盖基药品规数×（60%~80%）*</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3</w:t>
            </w:r>
          </w:p>
        </w:tc>
        <w:tc>
          <w:tcPr>
            <w:tcW w:w="189"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覆盖基药品规数×（80%~100%）*</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4</w:t>
            </w:r>
          </w:p>
        </w:tc>
        <w:tc>
          <w:tcPr>
            <w:tcW w:w="189"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≥覆盖基药品规数×100%</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5</w:t>
            </w:r>
          </w:p>
        </w:tc>
        <w:tc>
          <w:tcPr>
            <w:tcW w:w="189" w:type="pct"/>
            <w:vMerge w:val="continue"/>
            <w:tcBorders>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1189"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restart"/>
            <w:tcBorders>
              <w:top w:val="nil"/>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eastAsia="zh-CN"/>
              </w:rPr>
              <w:t>1</w:t>
            </w:r>
            <w:r>
              <w:rPr>
                <w:rFonts w:hint="eastAsia" w:ascii="Times New Roman" w:hAnsi="Times New Roman" w:eastAsia="宋体" w:cs="Times New Roman"/>
                <w:kern w:val="0"/>
                <w:sz w:val="21"/>
                <w:szCs w:val="21"/>
              </w:rPr>
              <w:t>.3经营范围（10分）</w:t>
            </w:r>
          </w:p>
        </w:tc>
        <w:tc>
          <w:tcPr>
            <w:tcW w:w="1644"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经营中成药、化学药、生物制品、体外诊断试剂（药品）、蛋白同化制剂、肽类激素，得6分，每少一项扣1分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6</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c>
          <w:tcPr>
            <w:tcW w:w="1942" w:type="pct"/>
            <w:vMerge w:val="restart"/>
            <w:tcBorders>
              <w:top w:val="nil"/>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提供加盖公章的《药品经营许可证》复印件</w:t>
            </w:r>
          </w:p>
        </w:tc>
      </w:tr>
      <w:tr>
        <w:tblPrEx>
          <w:tblCellMar>
            <w:top w:w="0" w:type="dxa"/>
            <w:left w:w="108" w:type="dxa"/>
            <w:bottom w:w="0" w:type="dxa"/>
            <w:right w:w="108" w:type="dxa"/>
          </w:tblCellMar>
        </w:tblPrEx>
        <w:trPr>
          <w:trHeight w:val="1189"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企业除上述经营范围外，同时还经营精神药品、麻醉药品、医疗用毒性药品、药品类易制毒化学品制剂，得 4分，每少一项扣1分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4</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894" w:hRule="atLeast"/>
          <w:jc w:val="center"/>
        </w:trPr>
        <w:tc>
          <w:tcPr>
            <w:tcW w:w="504"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eastAsia" w:ascii="Times New Roman" w:hAnsi="Times New Roman" w:eastAsia="宋体" w:cs="Times New Roman"/>
                <w:kern w:val="0"/>
                <w:sz w:val="21"/>
                <w:szCs w:val="21"/>
                <w:lang w:val="en-US" w:eastAsia="zh-CN"/>
              </w:rPr>
            </w:pPr>
          </w:p>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b/>
                <w:bCs/>
                <w:kern w:val="0"/>
                <w:sz w:val="21"/>
                <w:szCs w:val="21"/>
                <w:lang w:val="en-US" w:eastAsia="zh-CN"/>
              </w:rPr>
              <w:t>2.配送服务能力（50分</w:t>
            </w:r>
            <w:r>
              <w:rPr>
                <w:rFonts w:hint="eastAsia" w:ascii="Times New Roman" w:hAnsi="Times New Roman" w:eastAsia="宋体" w:cs="Times New Roman"/>
                <w:kern w:val="0"/>
                <w:sz w:val="21"/>
                <w:szCs w:val="21"/>
                <w:lang w:val="en-US" w:eastAsia="zh-CN"/>
              </w:rPr>
              <w:t>）</w:t>
            </w:r>
          </w:p>
        </w:tc>
        <w:tc>
          <w:tcPr>
            <w:tcW w:w="513"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eastAsia="zh-CN"/>
              </w:rPr>
              <w:t>2.1</w:t>
            </w:r>
            <w:r>
              <w:rPr>
                <w:rFonts w:hint="eastAsia" w:ascii="Times New Roman" w:hAnsi="Times New Roman" w:eastAsia="宋体" w:cs="Times New Roman"/>
                <w:kern w:val="0"/>
                <w:sz w:val="21"/>
                <w:szCs w:val="21"/>
              </w:rPr>
              <w:t>仓储面积（</w:t>
            </w:r>
            <w:r>
              <w:rPr>
                <w:rFonts w:hint="eastAsia" w:ascii="Times New Roman" w:hAnsi="Times New Roman" w:eastAsia="宋体" w:cs="Times New Roman"/>
                <w:kern w:val="0"/>
                <w:sz w:val="21"/>
                <w:szCs w:val="21"/>
                <w:lang w:val="en-US" w:eastAsia="zh-CN"/>
              </w:rPr>
              <w:t>10</w:t>
            </w:r>
            <w:r>
              <w:rPr>
                <w:rFonts w:hint="eastAsia" w:ascii="Times New Roman" w:hAnsi="Times New Roman" w:eastAsia="宋体" w:cs="Times New Roman"/>
                <w:kern w:val="0"/>
                <w:sz w:val="21"/>
                <w:szCs w:val="21"/>
              </w:rPr>
              <w:t>分）</w:t>
            </w:r>
          </w:p>
        </w:tc>
        <w:tc>
          <w:tcPr>
            <w:tcW w:w="1644"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常温及阴凉库总面积：1000 ㎡，得2分；每增加1000 ㎡加1分，最多不超过7分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7</w:t>
            </w:r>
          </w:p>
        </w:tc>
        <w:tc>
          <w:tcPr>
            <w:tcW w:w="189" w:type="pct"/>
            <w:vMerge w:val="restart"/>
            <w:tcBorders>
              <w:top w:val="single" w:color="auto" w:sz="4" w:space="0"/>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c>
          <w:tcPr>
            <w:tcW w:w="1942"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（1）属于自有储存运输：仓库及相关设施设备的产权证明（市场监督部门公布的相关数据或产权证或有测绘资质的第三方机构出具的证明）</w:t>
            </w:r>
            <w:r>
              <w:rPr>
                <w:rFonts w:hint="eastAsia" w:ascii="Times New Roman" w:hAnsi="Times New Roman" w:cs="Times New Roman"/>
                <w:kern w:val="0"/>
                <w:sz w:val="21"/>
                <w:szCs w:val="21"/>
                <w:lang w:eastAsia="zh-CN"/>
              </w:rPr>
              <w:t>；</w:t>
            </w:r>
            <w:r>
              <w:rPr>
                <w:rFonts w:hint="eastAsia" w:ascii="Times New Roman" w:hAnsi="Times New Roman" w:eastAsia="宋体" w:cs="Times New Roman"/>
                <w:kern w:val="0"/>
                <w:sz w:val="21"/>
                <w:szCs w:val="21"/>
              </w:rPr>
              <w:t>复印件加盖公章（原件备查，并备注日期）</w:t>
            </w:r>
          </w:p>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（2）属于委托储存运输：须提供受托方的上</w:t>
            </w:r>
          </w:p>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述相关材料</w:t>
            </w:r>
          </w:p>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（3）药品冷藏库不可另行租赁</w:t>
            </w:r>
          </w:p>
        </w:tc>
      </w:tr>
      <w:tr>
        <w:tblPrEx>
          <w:tblCellMar>
            <w:top w:w="0" w:type="dxa"/>
            <w:left w:w="108" w:type="dxa"/>
            <w:bottom w:w="0" w:type="dxa"/>
            <w:right w:w="108" w:type="dxa"/>
          </w:tblCellMar>
        </w:tblPrEx>
        <w:trPr>
          <w:trHeight w:val="600"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冷库面积：30 m</w:t>
            </w:r>
            <w:r>
              <w:rPr>
                <w:rFonts w:ascii="Arial" w:hAnsi="Arial" w:eastAsia="宋体" w:cs="Arial"/>
                <w:i w:val="0"/>
                <w:iCs w:val="0"/>
                <w:caps w:val="0"/>
                <w:color w:val="333333"/>
                <w:spacing w:val="0"/>
                <w:sz w:val="19"/>
                <w:szCs w:val="19"/>
                <w:shd w:val="clear" w:color="auto" w:fill="FFFFFF"/>
              </w:rPr>
              <w:t>³</w:t>
            </w:r>
            <w:r>
              <w:rPr>
                <w:rFonts w:hint="eastAsia" w:ascii="Times New Roman" w:hAnsi="Times New Roman" w:eastAsia="宋体" w:cs="Times New Roman"/>
                <w:kern w:val="0"/>
                <w:sz w:val="21"/>
                <w:szCs w:val="21"/>
              </w:rPr>
              <w:t>，得1分；每增加20 m</w:t>
            </w:r>
            <w:r>
              <w:rPr>
                <w:rFonts w:ascii="Arial" w:hAnsi="Arial" w:eastAsia="宋体" w:cs="Arial"/>
                <w:i w:val="0"/>
                <w:iCs w:val="0"/>
                <w:caps w:val="0"/>
                <w:color w:val="333333"/>
                <w:spacing w:val="0"/>
                <w:sz w:val="19"/>
                <w:szCs w:val="19"/>
                <w:shd w:val="clear" w:color="auto" w:fill="FFFFFF"/>
              </w:rPr>
              <w:t>³</w:t>
            </w:r>
            <w:r>
              <w:rPr>
                <w:rFonts w:hint="eastAsia" w:ascii="Times New Roman" w:hAnsi="Times New Roman" w:eastAsia="宋体" w:cs="Times New Roman"/>
                <w:kern w:val="0"/>
                <w:sz w:val="21"/>
                <w:szCs w:val="21"/>
              </w:rPr>
              <w:t>加0.5分，最多不超过3分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3</w:t>
            </w:r>
          </w:p>
        </w:tc>
        <w:tc>
          <w:tcPr>
            <w:tcW w:w="189" w:type="pct"/>
            <w:vMerge w:val="continue"/>
            <w:tcBorders>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eastAsia="zh-CN"/>
              </w:rPr>
              <w:t>2.2</w:t>
            </w:r>
            <w:r>
              <w:rPr>
                <w:rFonts w:hint="eastAsia" w:ascii="Times New Roman" w:hAnsi="Times New Roman" w:eastAsia="宋体" w:cs="Times New Roman"/>
                <w:kern w:val="0"/>
                <w:sz w:val="21"/>
                <w:szCs w:val="21"/>
              </w:rPr>
              <w:t>仓储地点</w:t>
            </w:r>
          </w:p>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rPr>
              <w:t>（6分）</w:t>
            </w:r>
          </w:p>
          <w:p>
            <w:pPr>
              <w:widowControl/>
              <w:jc w:val="left"/>
              <w:rPr>
                <w:rFonts w:hint="eastAsia" w:ascii="Times New Roman" w:hAnsi="Times New Roman" w:eastAsia="宋体" w:cs="Times New Roman"/>
                <w:kern w:val="0"/>
                <w:sz w:val="21"/>
                <w:szCs w:val="21"/>
              </w:rPr>
            </w:pPr>
          </w:p>
        </w:tc>
        <w:tc>
          <w:tcPr>
            <w:tcW w:w="16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rPr>
              <w:t>广西区外</w:t>
            </w:r>
          </w:p>
        </w:tc>
        <w:tc>
          <w:tcPr>
            <w:tcW w:w="20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rPr>
              <w:t>1</w:t>
            </w:r>
          </w:p>
        </w:tc>
        <w:tc>
          <w:tcPr>
            <w:tcW w:w="189" w:type="pct"/>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c>
          <w:tcPr>
            <w:tcW w:w="1942"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600"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rPr>
              <w:t>非医疗机构所在地范围的广西</w:t>
            </w:r>
            <w:r>
              <w:rPr>
                <w:rFonts w:hint="eastAsia" w:ascii="Times New Roman" w:hAnsi="Times New Roman" w:eastAsia="宋体" w:cs="Times New Roman"/>
                <w:kern w:val="0"/>
                <w:sz w:val="21"/>
                <w:szCs w:val="21"/>
                <w:lang w:val="en-US" w:eastAsia="zh-CN"/>
              </w:rPr>
              <w:t>区</w:t>
            </w:r>
            <w:r>
              <w:rPr>
                <w:rFonts w:hint="eastAsia" w:ascii="Times New Roman" w:hAnsi="Times New Roman" w:eastAsia="宋体" w:cs="Times New Roman"/>
                <w:kern w:val="0"/>
                <w:sz w:val="21"/>
                <w:szCs w:val="21"/>
              </w:rPr>
              <w:t>内</w:t>
            </w:r>
          </w:p>
        </w:tc>
        <w:tc>
          <w:tcPr>
            <w:tcW w:w="206" w:type="pct"/>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3</w:t>
            </w:r>
          </w:p>
        </w:tc>
        <w:tc>
          <w:tcPr>
            <w:tcW w:w="189" w:type="pct"/>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rPr>
              <w:t>医疗机构所在地市范围内</w:t>
            </w:r>
          </w:p>
        </w:tc>
        <w:tc>
          <w:tcPr>
            <w:tcW w:w="206" w:type="pct"/>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6</w:t>
            </w:r>
          </w:p>
        </w:tc>
        <w:tc>
          <w:tcPr>
            <w:tcW w:w="189" w:type="pct"/>
            <w:tcBorders>
              <w:top w:val="nil"/>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894"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2.3运输车辆配备（10分）</w:t>
            </w:r>
          </w:p>
        </w:tc>
        <w:tc>
          <w:tcPr>
            <w:tcW w:w="1644"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普通运输车辆（2辆运输车，得1分，每增加1辆加1分，最多不超过7分）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7</w:t>
            </w:r>
          </w:p>
        </w:tc>
        <w:tc>
          <w:tcPr>
            <w:tcW w:w="189"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c>
          <w:tcPr>
            <w:tcW w:w="194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（1）自有车辆或委托运输，需要提供行驶证、车辆登记证等相关有效证明。</w:t>
            </w:r>
          </w:p>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（2）冷藏车提供符合国家相关法律法规的验证报告（提交验证综述即可）。</w:t>
            </w:r>
          </w:p>
        </w:tc>
      </w:tr>
      <w:tr>
        <w:tblPrEx>
          <w:tblCellMar>
            <w:top w:w="0" w:type="dxa"/>
            <w:left w:w="108" w:type="dxa"/>
            <w:bottom w:w="0" w:type="dxa"/>
            <w:right w:w="108" w:type="dxa"/>
          </w:tblCellMar>
        </w:tblPrEx>
        <w:trPr>
          <w:trHeight w:val="894"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冷链运输车辆（1 辆冷链运输车，得 1 分，每增加 1 辆加 1分，最多不超过3分）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3</w:t>
            </w:r>
          </w:p>
        </w:tc>
        <w:tc>
          <w:tcPr>
            <w:tcW w:w="189"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p>
        </w:tc>
        <w:tc>
          <w:tcPr>
            <w:tcW w:w="194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p>
        </w:tc>
      </w:tr>
      <w:tr>
        <w:tblPrEx>
          <w:tblCellMar>
            <w:top w:w="0" w:type="dxa"/>
            <w:left w:w="108" w:type="dxa"/>
            <w:bottom w:w="0" w:type="dxa"/>
            <w:right w:w="108" w:type="dxa"/>
          </w:tblCellMar>
        </w:tblPrEx>
        <w:trPr>
          <w:trHeight w:val="1189"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2.4 仓储现代化水平（6分）</w:t>
            </w:r>
          </w:p>
        </w:tc>
        <w:tc>
          <w:tcPr>
            <w:tcW w:w="16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eastAsia="zh-CN"/>
              </w:rPr>
              <w:t>具备自动运送系统（2分），具备电子标签自动分拣系统（2分），采用自动化的货物存储和检索系统（2分），得6分</w:t>
            </w:r>
          </w:p>
        </w:tc>
        <w:tc>
          <w:tcPr>
            <w:tcW w:w="206" w:type="pct"/>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6</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rPr>
            </w:pPr>
            <w:r>
              <w:rPr>
                <w:rFonts w:hint="eastAsia" w:ascii="Times New Roman" w:hAnsi="Times New Roman" w:eastAsia="宋体" w:cs="Times New Roman"/>
                <w:kern w:val="0"/>
                <w:sz w:val="21"/>
                <w:szCs w:val="21"/>
                <w:lang w:val="en-US" w:eastAsia="zh-CN"/>
              </w:rPr>
              <w:t>企业所在地药监局现场检查确认证明</w:t>
            </w:r>
          </w:p>
        </w:tc>
      </w:tr>
      <w:tr>
        <w:tblPrEx>
          <w:tblCellMar>
            <w:top w:w="0" w:type="dxa"/>
            <w:left w:w="108" w:type="dxa"/>
            <w:bottom w:w="0" w:type="dxa"/>
            <w:right w:w="108" w:type="dxa"/>
          </w:tblCellMar>
        </w:tblPrEx>
        <w:trPr>
          <w:trHeight w:val="894"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2.5 药品管理信息化（6分）</w:t>
            </w:r>
          </w:p>
        </w:tc>
        <w:tc>
          <w:tcPr>
            <w:tcW w:w="16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实现药品购进、储存、出库、配送全过程实时追溯系统，得4分，每少一项过程监控扣1分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4</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restart"/>
            <w:tcBorders>
              <w:top w:val="single" w:color="auto" w:sz="4" w:space="0"/>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相关佐证材料（包括但不限于提供各信息系</w:t>
            </w:r>
          </w:p>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统板块界面截图），加盖企业公章</w:t>
            </w: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实现发票电子化，得2分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p>
        </w:tc>
        <w:tc>
          <w:tcPr>
            <w:tcW w:w="1942"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restart"/>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2.6 药学技术人员配备（</w:t>
            </w:r>
            <w:r>
              <w:rPr>
                <w:rFonts w:hint="eastAsia" w:ascii="Times New Roman" w:hAnsi="Times New Roman" w:eastAsia="宋体" w:cs="Times New Roman"/>
                <w:kern w:val="0"/>
                <w:sz w:val="21"/>
                <w:szCs w:val="21"/>
                <w:lang w:val="en-US" w:eastAsia="zh-CN"/>
              </w:rPr>
              <w:t>7</w:t>
            </w:r>
            <w:r>
              <w:rPr>
                <w:rFonts w:hint="eastAsia" w:ascii="Times New Roman" w:hAnsi="Times New Roman" w:eastAsia="宋体" w:cs="Times New Roman"/>
                <w:kern w:val="0"/>
                <w:sz w:val="21"/>
                <w:szCs w:val="21"/>
              </w:rPr>
              <w:t>分）</w:t>
            </w:r>
          </w:p>
        </w:tc>
        <w:tc>
          <w:tcPr>
            <w:tcW w:w="16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配备与经营规模相适应的一定数量的执业药师或依法经过资格认定的其他药学技术人员，占企业员工数10%及以上，得5分，每减少2%减1分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5</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p>
        </w:tc>
        <w:tc>
          <w:tcPr>
            <w:tcW w:w="1942" w:type="pct"/>
            <w:vMerge w:val="restart"/>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以企业员工配备名单、药监局颁发的在有效期内的执业药师注册证、参保证明作为依据，并提供相关人员资质证明（学历证明、资质证书等）</w:t>
            </w:r>
          </w:p>
        </w:tc>
      </w:tr>
      <w:tr>
        <w:tblPrEx>
          <w:tblCellMar>
            <w:top w:w="0" w:type="dxa"/>
            <w:left w:w="108" w:type="dxa"/>
            <w:bottom w:w="0" w:type="dxa"/>
            <w:right w:w="108" w:type="dxa"/>
          </w:tblCellMar>
        </w:tblPrEx>
        <w:trPr>
          <w:trHeight w:val="1189"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6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质量管理负责人具有大学以上学历，且必须是执业药师，有3年以上药品经营质量管理工作经验，得2分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p>
        </w:tc>
        <w:tc>
          <w:tcPr>
            <w:tcW w:w="1942"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p>
        </w:tc>
      </w:tr>
      <w:tr>
        <w:tblPrEx>
          <w:tblCellMar>
            <w:top w:w="0" w:type="dxa"/>
            <w:left w:w="108" w:type="dxa"/>
            <w:bottom w:w="0" w:type="dxa"/>
            <w:right w:w="108" w:type="dxa"/>
          </w:tblCellMar>
        </w:tblPrEx>
        <w:trPr>
          <w:trHeight w:val="1189" w:hRule="atLeast"/>
          <w:jc w:val="center"/>
        </w:trPr>
        <w:tc>
          <w:tcPr>
            <w:tcW w:w="504"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2.7配送服务覆盖范围（5分）</w:t>
            </w:r>
          </w:p>
        </w:tc>
        <w:tc>
          <w:tcPr>
            <w:tcW w:w="1644"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配送广西区内医院情况：每配送 2 家医院得 0.5 分，最多不超过5分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5</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p>
        </w:tc>
        <w:tc>
          <w:tcPr>
            <w:tcW w:w="1942" w:type="pct"/>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提供合作医院的购销合同或相关协议复印</w:t>
            </w:r>
          </w:p>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件（含盖章页）</w:t>
            </w:r>
          </w:p>
        </w:tc>
      </w:tr>
      <w:tr>
        <w:tblPrEx>
          <w:tblCellMar>
            <w:top w:w="0" w:type="dxa"/>
            <w:left w:w="108" w:type="dxa"/>
            <w:bottom w:w="0" w:type="dxa"/>
            <w:right w:w="108" w:type="dxa"/>
          </w:tblCellMar>
        </w:tblPrEx>
        <w:trPr>
          <w:trHeight w:val="1189" w:hRule="atLeast"/>
          <w:jc w:val="center"/>
        </w:trPr>
        <w:tc>
          <w:tcPr>
            <w:tcW w:w="504" w:type="pct"/>
            <w:vMerge w:val="restart"/>
            <w:tcBorders>
              <w:top w:val="nil"/>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b/>
                <w:bCs/>
                <w:kern w:val="0"/>
                <w:sz w:val="21"/>
                <w:szCs w:val="21"/>
                <w:lang w:val="en-US" w:eastAsia="zh-CN"/>
              </w:rPr>
              <w:t>3. 药品质量与企业管理规范（15分）</w:t>
            </w:r>
          </w:p>
        </w:tc>
        <w:tc>
          <w:tcPr>
            <w:tcW w:w="513"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3.1 管理制度</w:t>
            </w:r>
          </w:p>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eastAsia="zh-CN"/>
              </w:rPr>
              <w:t>（6分）</w:t>
            </w: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管理制度完备详细，药品采购、收货及验收、储存、出库复核、销售、运输过程的管理制度齐全，得 6分，每少一项制度扣1分</w:t>
            </w:r>
          </w:p>
        </w:tc>
        <w:tc>
          <w:tcPr>
            <w:tcW w:w="20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kern w:val="0"/>
                <w:sz w:val="21"/>
                <w:szCs w:val="21"/>
                <w:lang w:val="en-US" w:eastAsia="zh-CN"/>
              </w:rPr>
              <w:t>6</w:t>
            </w:r>
          </w:p>
        </w:tc>
        <w:tc>
          <w:tcPr>
            <w:tcW w:w="189"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c>
          <w:tcPr>
            <w:tcW w:w="1942" w:type="pct"/>
            <w:tcBorders>
              <w:top w:val="single" w:color="auto" w:sz="4" w:space="0"/>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提供所有环节相关管理制度目录，经营管理记录，加盖企业公章，不提供证明材料的不得分</w:t>
            </w:r>
          </w:p>
        </w:tc>
      </w:tr>
      <w:tr>
        <w:tblPrEx>
          <w:tblCellMar>
            <w:top w:w="0" w:type="dxa"/>
            <w:left w:w="108" w:type="dxa"/>
            <w:bottom w:w="0" w:type="dxa"/>
            <w:right w:w="108" w:type="dxa"/>
          </w:tblCellMar>
        </w:tblPrEx>
        <w:trPr>
          <w:trHeight w:val="1779"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eastAsia="zh-CN"/>
              </w:rPr>
              <w:t>3.2 药品运输储存环境条件控制</w:t>
            </w:r>
            <w:r>
              <w:rPr>
                <w:rFonts w:hint="eastAsia" w:ascii="Times New Roman" w:hAnsi="Times New Roman" w:cs="Times New Roman"/>
                <w:kern w:val="0"/>
                <w:sz w:val="21"/>
                <w:szCs w:val="21"/>
                <w:lang w:val="en-US" w:eastAsia="zh-CN"/>
              </w:rPr>
              <w:t xml:space="preserve">   </w:t>
            </w:r>
            <w:r>
              <w:rPr>
                <w:rFonts w:hint="eastAsia" w:ascii="Times New Roman" w:hAnsi="Times New Roman" w:eastAsia="宋体" w:cs="Times New Roman"/>
                <w:kern w:val="0"/>
                <w:sz w:val="21"/>
                <w:szCs w:val="21"/>
                <w:lang w:val="en-US" w:eastAsia="zh-CN"/>
              </w:rPr>
              <w:t>（2分）</w:t>
            </w: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能严格控制运输和储存环境中的温湿度条件，具备冷链温度监控系统</w:t>
            </w:r>
          </w:p>
        </w:tc>
        <w:tc>
          <w:tcPr>
            <w:tcW w:w="206" w:type="pct"/>
            <w:tcBorders>
              <w:top w:val="nil"/>
              <w:left w:val="nil"/>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lang w:val="en-US" w:eastAsia="zh-CN"/>
              </w:rPr>
              <w:t>2</w:t>
            </w:r>
          </w:p>
        </w:tc>
        <w:tc>
          <w:tcPr>
            <w:tcW w:w="189"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c>
          <w:tcPr>
            <w:tcW w:w="1942"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温度监控系统的证明材料</w:t>
            </w:r>
          </w:p>
        </w:tc>
      </w:tr>
      <w:tr>
        <w:tblPrEx>
          <w:tblCellMar>
            <w:top w:w="0" w:type="dxa"/>
            <w:left w:w="108" w:type="dxa"/>
            <w:bottom w:w="0" w:type="dxa"/>
            <w:right w:w="108" w:type="dxa"/>
          </w:tblCellMar>
        </w:tblPrEx>
        <w:trPr>
          <w:trHeight w:val="2369" w:hRule="atLeast"/>
          <w:jc w:val="center"/>
        </w:trPr>
        <w:tc>
          <w:tcPr>
            <w:tcW w:w="504"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513"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3.3 药物警戒</w:t>
            </w:r>
          </w:p>
          <w:p>
            <w:pPr>
              <w:widowControl/>
              <w:jc w:val="left"/>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（7分）</w:t>
            </w:r>
          </w:p>
        </w:tc>
        <w:tc>
          <w:tcPr>
            <w:tcW w:w="1644"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有药品安全信息（药品不良反应、药品质量问题等）的收集记录（2分）；有药物警戒活动的记录、文档管理（2分）；有药品召回管理的流程制度（2分）；有与药品上市许可持有人、医疗机构、药品生产企业等协同开展药物警戒工作的记录（1分）</w:t>
            </w:r>
          </w:p>
        </w:tc>
        <w:tc>
          <w:tcPr>
            <w:tcW w:w="206" w:type="pct"/>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7</w:t>
            </w:r>
          </w:p>
        </w:tc>
        <w:tc>
          <w:tcPr>
            <w:tcW w:w="189"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tcBorders>
              <w:top w:val="nil"/>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逐条提供证明材料</w:t>
            </w:r>
          </w:p>
        </w:tc>
      </w:tr>
      <w:tr>
        <w:tblPrEx>
          <w:tblCellMar>
            <w:top w:w="0" w:type="dxa"/>
            <w:left w:w="108" w:type="dxa"/>
            <w:bottom w:w="0" w:type="dxa"/>
            <w:right w:w="108" w:type="dxa"/>
          </w:tblCellMar>
        </w:tblPrEx>
        <w:trPr>
          <w:trHeight w:val="894" w:hRule="atLeast"/>
          <w:jc w:val="center"/>
        </w:trPr>
        <w:tc>
          <w:tcPr>
            <w:tcW w:w="504" w:type="pct"/>
            <w:vMerge w:val="restart"/>
            <w:tcBorders>
              <w:top w:val="nil"/>
              <w:left w:val="single" w:color="auto" w:sz="4" w:space="0"/>
              <w:right w:val="single" w:color="auto" w:sz="4" w:space="0"/>
            </w:tcBorders>
            <w:noWrap w:val="0"/>
            <w:vAlign w:val="center"/>
          </w:tcPr>
          <w:p>
            <w:pPr>
              <w:widowControl/>
              <w:jc w:val="left"/>
              <w:rPr>
                <w:rFonts w:hint="eastAsia" w:ascii="Times New Roman" w:hAnsi="Times New Roman" w:eastAsia="宋体" w:cs="Times New Roman"/>
                <w:b/>
                <w:bCs/>
                <w:kern w:val="0"/>
                <w:sz w:val="21"/>
                <w:szCs w:val="21"/>
                <w:lang w:val="en-US" w:eastAsia="zh-CN"/>
              </w:rPr>
            </w:pPr>
            <w:r>
              <w:rPr>
                <w:rFonts w:hint="eastAsia" w:ascii="Times New Roman" w:hAnsi="Times New Roman" w:cs="Times New Roman"/>
                <w:b/>
                <w:bCs/>
                <w:kern w:val="0"/>
                <w:sz w:val="21"/>
                <w:szCs w:val="21"/>
                <w:lang w:val="en-US" w:eastAsia="zh-CN"/>
              </w:rPr>
              <w:t>4.</w:t>
            </w:r>
            <w:r>
              <w:rPr>
                <w:rFonts w:hint="eastAsia" w:ascii="Times New Roman" w:hAnsi="Times New Roman" w:eastAsia="宋体" w:cs="Times New Roman"/>
                <w:b/>
                <w:bCs/>
                <w:kern w:val="0"/>
                <w:sz w:val="21"/>
                <w:szCs w:val="21"/>
                <w:lang w:val="en-US" w:eastAsia="zh-CN"/>
              </w:rPr>
              <w:t>企业应急保障能力</w:t>
            </w:r>
          </w:p>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b/>
                <w:bCs/>
                <w:kern w:val="0"/>
                <w:sz w:val="21"/>
                <w:szCs w:val="21"/>
                <w:lang w:val="en-US" w:eastAsia="zh-CN"/>
              </w:rPr>
              <w:t>（10分）</w:t>
            </w:r>
          </w:p>
        </w:tc>
        <w:tc>
          <w:tcPr>
            <w:tcW w:w="2158" w:type="pct"/>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提供抢救药、重大疫情、自然灾害及突发公共卫生事件所需的药品或其他特殊加急药品的应对措施/方案，得2分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restart"/>
            <w:tcBorders>
              <w:top w:val="nil"/>
              <w:left w:val="nil"/>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cs="Times New Roman"/>
                <w:kern w:val="0"/>
                <w:sz w:val="21"/>
                <w:szCs w:val="21"/>
                <w:lang w:val="en-US" w:eastAsia="zh-CN"/>
              </w:rPr>
              <w:t>逐条</w:t>
            </w:r>
            <w:r>
              <w:rPr>
                <w:rFonts w:hint="eastAsia" w:ascii="Times New Roman" w:hAnsi="Times New Roman" w:eastAsia="宋体" w:cs="Times New Roman"/>
                <w:kern w:val="0"/>
                <w:sz w:val="21"/>
                <w:szCs w:val="21"/>
                <w:lang w:val="en-US" w:eastAsia="zh-CN"/>
              </w:rPr>
              <w:t>提供有效的证明材料作为得分依据；相关应急预案，应包含所有必要的组成部分，如组织结构、风险评估、预防措施、应急响应流程、资源调配、培训和演练计划等</w:t>
            </w:r>
          </w:p>
        </w:tc>
      </w:tr>
      <w:tr>
        <w:tblPrEx>
          <w:tblCellMar>
            <w:top w:w="0" w:type="dxa"/>
            <w:left w:w="108" w:type="dxa"/>
            <w:bottom w:w="0" w:type="dxa"/>
            <w:right w:w="108" w:type="dxa"/>
          </w:tblCellMar>
        </w:tblPrEx>
        <w:trPr>
          <w:trHeight w:val="600"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2158" w:type="pct"/>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对于医院订单不能满足配送供应时有应对措施/方案，得2分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2158" w:type="pct"/>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有本地药品战略物资储备单位，得2分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600"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2158" w:type="pct"/>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具有完善可行的出库、运输、信息、药品安全、冷链等应急保障预案，得2分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2</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600" w:hRule="atLeast"/>
          <w:jc w:val="center"/>
        </w:trPr>
        <w:tc>
          <w:tcPr>
            <w:tcW w:w="504" w:type="pct"/>
            <w:vMerge w:val="continue"/>
            <w:tcBorders>
              <w:left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2158" w:type="pct"/>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有应急资源和设备，如备用电源、通讯设备、应急药品储备等，得1分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600" w:hRule="atLeast"/>
          <w:jc w:val="center"/>
        </w:trPr>
        <w:tc>
          <w:tcPr>
            <w:tcW w:w="504" w:type="pct"/>
            <w:vMerge w:val="continue"/>
            <w:tcBorders>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2158" w:type="pct"/>
            <w:gridSpan w:val="2"/>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具备信息报告和沟通机制，有定期开展应急演练的记录，得1分</w:t>
            </w:r>
          </w:p>
        </w:tc>
        <w:tc>
          <w:tcPr>
            <w:tcW w:w="20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1</w:t>
            </w:r>
          </w:p>
        </w:tc>
        <w:tc>
          <w:tcPr>
            <w:tcW w:w="18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c>
          <w:tcPr>
            <w:tcW w:w="1942" w:type="pct"/>
            <w:vMerge w:val="continue"/>
            <w:tcBorders>
              <w:left w:val="nil"/>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p>
        </w:tc>
      </w:tr>
      <w:tr>
        <w:tblPrEx>
          <w:tblCellMar>
            <w:top w:w="0" w:type="dxa"/>
            <w:left w:w="108" w:type="dxa"/>
            <w:bottom w:w="0" w:type="dxa"/>
            <w:right w:w="108" w:type="dxa"/>
          </w:tblCellMar>
        </w:tblPrEx>
        <w:trPr>
          <w:trHeight w:val="305" w:hRule="atLeast"/>
          <w:jc w:val="center"/>
        </w:trPr>
        <w:tc>
          <w:tcPr>
            <w:tcW w:w="2868" w:type="pct"/>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合计得分</w:t>
            </w:r>
          </w:p>
        </w:tc>
        <w:tc>
          <w:tcPr>
            <w:tcW w:w="2131" w:type="pct"/>
            <w:gridSpan w:val="2"/>
            <w:tcBorders>
              <w:top w:val="single" w:color="auto" w:sz="4" w:space="0"/>
              <w:left w:val="nil"/>
              <w:bottom w:val="single" w:color="auto" w:sz="4" w:space="0"/>
              <w:right w:val="single" w:color="auto" w:sz="4" w:space="0"/>
            </w:tcBorders>
            <w:noWrap/>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　</w:t>
            </w:r>
          </w:p>
        </w:tc>
      </w:tr>
      <w:tr>
        <w:tblPrEx>
          <w:tblCellMar>
            <w:top w:w="0" w:type="dxa"/>
            <w:left w:w="108" w:type="dxa"/>
            <w:bottom w:w="0" w:type="dxa"/>
            <w:right w:w="108" w:type="dxa"/>
          </w:tblCellMar>
        </w:tblPrEx>
        <w:trPr>
          <w:trHeight w:val="600" w:hRule="atLeast"/>
          <w:jc w:val="center"/>
        </w:trPr>
        <w:tc>
          <w:tcPr>
            <w:tcW w:w="5000" w:type="pct"/>
            <w:gridSpan w:val="6"/>
            <w:tcBorders>
              <w:top w:val="nil"/>
              <w:left w:val="nil"/>
              <w:bottom w:val="nil"/>
              <w:right w:val="nil"/>
            </w:tcBorders>
            <w:noWrap w:val="0"/>
            <w:vAlign w:val="center"/>
          </w:tcPr>
          <w:p>
            <w:pPr>
              <w:widowControl/>
              <w:jc w:val="left"/>
              <w:rPr>
                <w:rFonts w:hint="eastAsia" w:ascii="Times New Roman" w:hAnsi="Times New Roman" w:eastAsia="宋体" w:cs="Times New Roman"/>
                <w:kern w:val="0"/>
                <w:sz w:val="21"/>
                <w:szCs w:val="21"/>
              </w:rPr>
            </w:pPr>
            <w:r>
              <w:rPr>
                <w:rFonts w:hint="eastAsia" w:ascii="Times New Roman" w:hAnsi="Times New Roman" w:eastAsia="宋体" w:cs="Times New Roman"/>
                <w:kern w:val="0"/>
                <w:sz w:val="21"/>
                <w:szCs w:val="21"/>
              </w:rPr>
              <w:t>说明：申报企供的证明材料复印件，每份应加盖企业公章。本标准涉及的数据以申报企业本身数据为准。*指包含下限值但不包含上限值。</w:t>
            </w:r>
          </w:p>
        </w:tc>
      </w:tr>
    </w:tbl>
    <w:p/>
    <w:p>
      <w:bookmarkStart w:id="0" w:name="_GoBack"/>
      <w:bookmarkEnd w:id="0"/>
    </w:p>
    <w:sectPr>
      <w:pgSz w:w="11906" w:h="16838"/>
      <w:pgMar w:top="646" w:right="669" w:bottom="646" w:left="1236"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 w:name="Helvetica">
    <w:altName w:val="Arial"/>
    <w:panose1 w:val="020B0504020202030204"/>
    <w:charset w:val="00"/>
    <w:family w:val="swiss"/>
    <w:pitch w:val="default"/>
    <w:sig w:usb0="00000000"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jNDE4NmY1ODM0MmU1ZTM1YTM0YWU0NWM4ZTUzZWIifQ=="/>
  </w:docVars>
  <w:rsids>
    <w:rsidRoot w:val="32DA37D8"/>
    <w:rsid w:val="32DA3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2025-10-20T02:09:00Z</dcterms:created>
  <dc:creator>一心为民</dc:creator>
  <cp:lastModifiedBy>一心为民</cp:lastModifiedBy>
  <dcterms:modified xsi:type="dcterms:W3CDTF">2025-10-20T02:16:57Z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DED934AD647542948E18C58F1548B516_11</vt:lpwstr>
  </property>
</Properties>
</file>